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F415B" w:rsidP="00DC6725" w:rsidRDefault="00C5294D" w14:paraId="58A25872" w14:textId="2A929A1D">
      <w:pPr>
        <w:pStyle w:val="Heading1section"/>
      </w:pPr>
      <w:r w:rsidR="00C5294D">
        <w:rPr/>
        <w:t>Unit</w:t>
      </w:r>
      <w:r w:rsidR="003F415B">
        <w:rPr/>
        <w:t xml:space="preserve"> </w:t>
      </w:r>
      <w:r w:rsidR="002C29A4">
        <w:rPr/>
        <w:t>6</w:t>
      </w:r>
    </w:p>
    <w:p w:rsidRPr="00E32651" w:rsidR="00E5425C" w:rsidP="009733CA" w:rsidRDefault="002C29A4" w14:paraId="6727E9B9" w14:textId="0858DD61">
      <w:pPr>
        <w:pStyle w:val="Title"/>
        <w:rPr>
          <w:sz w:val="56"/>
          <w:szCs w:val="44"/>
        </w:rPr>
      </w:pPr>
      <w:r w:rsidRPr="00E32651">
        <w:rPr>
          <w:sz w:val="56"/>
          <w:szCs w:val="44"/>
        </w:rPr>
        <w:t xml:space="preserve">Introduction to </w:t>
      </w:r>
      <w:r w:rsidRPr="00E32651" w:rsidR="002570B3">
        <w:rPr>
          <w:sz w:val="56"/>
          <w:szCs w:val="44"/>
        </w:rPr>
        <w:t>Broadly Neutralizing Antibodies (bnAbs)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BE5F1" w:themeFill="accent1" w:themeFillTint="33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8640"/>
      </w:tblGrid>
      <w:tr w:rsidRPr="00801D44" w:rsidR="00801D44" w:rsidTr="003D3888" w14:paraId="3CFAADB6" w14:textId="77777777">
        <w:trPr>
          <w:trHeight w:val="5355"/>
          <w:jc w:val="center"/>
        </w:trPr>
        <w:tc>
          <w:tcPr>
            <w:tcW w:w="8640" w:type="dxa"/>
            <w:shd w:val="clear" w:color="auto" w:fill="DBE5F1" w:themeFill="accent1" w:themeFillTint="33"/>
          </w:tcPr>
          <w:p w:rsidRPr="00801D44" w:rsidR="00801D44" w:rsidP="00C75313" w:rsidRDefault="00801D44" w14:paraId="013E5606" w14:textId="77777777">
            <w:pPr>
              <w:pStyle w:val="OverviewHeading1"/>
            </w:pPr>
            <w:r w:rsidRPr="00801D44">
              <w:t>Overview</w:t>
            </w:r>
          </w:p>
          <w:p w:rsidRPr="00801D44" w:rsidR="00801D44" w:rsidP="00C75313" w:rsidRDefault="00190A02" w14:paraId="4F76C24D" w14:textId="59BAFE5A">
            <w:pPr>
              <w:pStyle w:val="OverviewBodyText"/>
            </w:pPr>
            <w:r w:rsidRPr="00190A02">
              <w:t xml:space="preserve">The purpose of this unit is to provide trainees an introduction to </w:t>
            </w:r>
            <w:r w:rsidR="0028407F">
              <w:t>broadly neutralizing antibodies (bnAbs, pronounced “bee-nabs”) and</w:t>
            </w:r>
            <w:r w:rsidR="002C29A4">
              <w:t xml:space="preserve"> </w:t>
            </w:r>
            <w:r w:rsidR="0028407F">
              <w:t>bnAb</w:t>
            </w:r>
            <w:r w:rsidR="002C29A4">
              <w:t xml:space="preserve"> research</w:t>
            </w:r>
            <w:r w:rsidR="0028407F">
              <w:t>, and how this work relates to HIV vaccines</w:t>
            </w:r>
            <w:r w:rsidR="002C29A4">
              <w:t>.</w:t>
            </w:r>
          </w:p>
          <w:p w:rsidRPr="00801D44" w:rsidR="00801D44" w:rsidP="00C75313" w:rsidRDefault="00801D44" w14:paraId="1A08DE91" w14:textId="77777777">
            <w:pPr>
              <w:pStyle w:val="OverviewHeading1"/>
            </w:pPr>
            <w:r w:rsidRPr="00801D44">
              <w:t>Objectives</w:t>
            </w:r>
          </w:p>
          <w:p w:rsidRPr="00801D44" w:rsidR="00801D44" w:rsidP="00C75313" w:rsidRDefault="00801D44" w14:paraId="614F1067" w14:textId="77777777">
            <w:pPr>
              <w:pStyle w:val="OverviewBodyText"/>
            </w:pPr>
            <w:r w:rsidRPr="00801D44">
              <w:t>By the end of the</w:t>
            </w:r>
            <w:r w:rsidR="00464ED6">
              <w:t xml:space="preserve"> </w:t>
            </w:r>
            <w:r w:rsidR="00250F6F">
              <w:t xml:space="preserve">unit </w:t>
            </w:r>
            <w:r w:rsidR="00464ED6">
              <w:t>trainees will</w:t>
            </w:r>
            <w:r w:rsidRPr="00801D44">
              <w:t>:</w:t>
            </w:r>
          </w:p>
          <w:p w:rsidRPr="00801D44" w:rsidR="00801D44" w:rsidP="00C75313" w:rsidRDefault="001A7DA3" w14:paraId="3135344F" w14:textId="5A3A4C11">
            <w:pPr>
              <w:pStyle w:val="OverviewListBullet"/>
            </w:pPr>
            <w:r>
              <w:t xml:space="preserve">Be familiar with </w:t>
            </w:r>
            <w:r w:rsidR="0028407F">
              <w:t>bnAbs and how they are related to HIV vaccine</w:t>
            </w:r>
          </w:p>
          <w:p w:rsidRPr="00801D44" w:rsidR="00801D44" w:rsidP="00C75313" w:rsidRDefault="002C29A4" w14:paraId="61247BF6" w14:textId="6B983EBF">
            <w:pPr>
              <w:pStyle w:val="OverviewListBullet"/>
            </w:pPr>
            <w:r>
              <w:t xml:space="preserve">Be familiar with some of the history of </w:t>
            </w:r>
            <w:r w:rsidR="0028407F">
              <w:t>prior bnAb studies, including the AMP studies which proved the concept that bnAbs can be used for HIV prevention</w:t>
            </w:r>
          </w:p>
          <w:p w:rsidRPr="00801D44" w:rsidR="00801D44" w:rsidP="00C75313" w:rsidRDefault="002C29A4" w14:paraId="4FB46E39" w14:textId="0C0E8ED1">
            <w:pPr>
              <w:pStyle w:val="OverviewListBullet"/>
            </w:pPr>
            <w:r>
              <w:t xml:space="preserve">Understand </w:t>
            </w:r>
            <w:r w:rsidR="0028407F">
              <w:t>the future direction of bnAb research</w:t>
            </w:r>
          </w:p>
          <w:p w:rsidR="00801D44" w:rsidP="00C75313" w:rsidRDefault="00801D44" w14:paraId="57F56316" w14:textId="6644299F">
            <w:pPr>
              <w:pStyle w:val="OverviewHeading1"/>
            </w:pPr>
            <w:r w:rsidRPr="00801D44">
              <w:t>Materials</w:t>
            </w:r>
          </w:p>
          <w:p w:rsidRPr="0028407F" w:rsidR="0028407F" w:rsidP="0028407F" w:rsidRDefault="00E32651" w14:paraId="5FFDAE2C" w14:textId="1307A38B">
            <w:pPr>
              <w:pStyle w:val="OverviewHeading1"/>
              <w:numPr>
                <w:ilvl w:val="0"/>
                <w:numId w:val="21"/>
              </w:numPr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Intro-to-bnAbs</w:t>
            </w:r>
            <w:r w:rsidRPr="0028407F" w:rsidR="0028407F">
              <w:rPr>
                <w:b w:val="0"/>
                <w:bCs/>
                <w:sz w:val="22"/>
                <w:szCs w:val="14"/>
              </w:rPr>
              <w:t>.ppt</w:t>
            </w:r>
          </w:p>
          <w:p w:rsidRPr="00801D44" w:rsidR="00801D44" w:rsidP="00C75313" w:rsidRDefault="00801D44" w14:paraId="66151786" w14:textId="77777777">
            <w:pPr>
              <w:pStyle w:val="OverviewHeading1"/>
              <w:rPr>
                <w:vanish/>
                <w:specVanish/>
              </w:rPr>
            </w:pPr>
            <w:r w:rsidRPr="00801D44">
              <w:t>Approximate time</w:t>
            </w:r>
          </w:p>
          <w:p w:rsidRPr="00801D44" w:rsidR="00801D44" w:rsidP="001A7DA3" w:rsidRDefault="00801D44" w14:paraId="52345701" w14:textId="309FCE23">
            <w:pPr>
              <w:pStyle w:val="OverviewBodyText"/>
            </w:pPr>
            <w:r w:rsidRPr="00801D44">
              <w:t xml:space="preserve"> </w:t>
            </w:r>
            <w:r w:rsidR="001A7DA3">
              <w:t>(</w:t>
            </w:r>
            <w:r w:rsidR="00433A9A">
              <w:t>45</w:t>
            </w:r>
            <w:r w:rsidR="001A7DA3">
              <w:t xml:space="preserve"> minutes)</w:t>
            </w:r>
          </w:p>
        </w:tc>
      </w:tr>
    </w:tbl>
    <w:p w:rsidR="00E5425C" w:rsidP="009733CA" w:rsidRDefault="008A7C7B" w14:paraId="77E6EB9E" w14:textId="6AF3C524">
      <w:pPr>
        <w:pStyle w:val="Heading1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7B959A" wp14:editId="19271229">
            <wp:simplePos x="0" y="0"/>
            <wp:positionH relativeFrom="leftMargin">
              <wp:posOffset>694690</wp:posOffset>
            </wp:positionH>
            <wp:positionV relativeFrom="paragraph">
              <wp:posOffset>274320</wp:posOffset>
            </wp:positionV>
            <wp:extent cx="365760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m-up-v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9F3" w:rsidR="00E5425C">
        <w:t>Warm-up/Introduction (</w:t>
      </w:r>
      <w:r w:rsidR="00E45C1A">
        <w:t>5</w:t>
      </w:r>
      <w:r w:rsidR="00433A9A">
        <w:t xml:space="preserve"> </w:t>
      </w:r>
      <w:r w:rsidR="00E45C1A">
        <w:t>minutes</w:t>
      </w:r>
      <w:r w:rsidRPr="00B829F3" w:rsidR="00E5425C">
        <w:t>)</w:t>
      </w:r>
    </w:p>
    <w:p w:rsidR="00DC6725" w:rsidP="009733CA" w:rsidRDefault="001F1CA0" w14:paraId="70E9F7B1" w14:textId="77777777">
      <w:pPr>
        <w:pStyle w:val="Heading2"/>
      </w:pPr>
      <w:r>
        <w:t>Preparation</w:t>
      </w:r>
    </w:p>
    <w:p w:rsidRPr="00F05FCB" w:rsidR="00D931AB" w:rsidP="00D931AB" w:rsidRDefault="00464ED6" w14:paraId="5AD045B3" w14:textId="3DDF0630">
      <w:pPr>
        <w:pStyle w:val="BodyText"/>
      </w:pPr>
      <w:r>
        <w:rPr>
          <w:b/>
        </w:rPr>
        <w:t xml:space="preserve">Step 1: </w:t>
      </w:r>
      <w:r w:rsidR="001A7DA3">
        <w:t xml:space="preserve">Ask trainees if they </w:t>
      </w:r>
      <w:r w:rsidR="002C29A4">
        <w:t xml:space="preserve">have any personal experience with </w:t>
      </w:r>
      <w:r w:rsidR="00E32651">
        <w:t>getting an IV infusion, also known as “getting a drip.” People may have gotten fluids if they were dehydrated, or they may have received a medication. See if anyone is familiar with using antibodies to treat other diseases (other than HIV)</w:t>
      </w:r>
      <w:r w:rsidR="00A60FB4">
        <w:t>, and ask them to share what they know, or what they have experienced.</w:t>
      </w:r>
    </w:p>
    <w:p w:rsidRPr="00724B10" w:rsidR="00E5425C" w:rsidP="009733CA" w:rsidRDefault="008931F4" w14:paraId="030EBC5F" w14:textId="29D57EF7">
      <w:pPr>
        <w:pStyle w:val="Heading1"/>
      </w:pPr>
      <w:r>
        <w:rPr>
          <w:b w:val="0"/>
          <w:iCs w:val="0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AF060E0" wp14:editId="42C12AC5">
            <wp:simplePos x="0" y="0"/>
            <wp:positionH relativeFrom="leftMargin">
              <wp:posOffset>695325</wp:posOffset>
            </wp:positionH>
            <wp:positionV relativeFrom="paragraph">
              <wp:posOffset>-111760</wp:posOffset>
            </wp:positionV>
            <wp:extent cx="365760" cy="365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-v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B10" w:rsidR="00E5425C">
        <w:t>Presentation of Information (</w:t>
      </w:r>
      <w:r w:rsidR="00AE41F3">
        <w:t>40</w:t>
      </w:r>
      <w:r w:rsidR="00433A9A">
        <w:t xml:space="preserve"> </w:t>
      </w:r>
      <w:r w:rsidR="00E45C1A">
        <w:t>minutes</w:t>
      </w:r>
      <w:r w:rsidRPr="00724B10" w:rsidR="00E5425C">
        <w:t>)</w:t>
      </w:r>
    </w:p>
    <w:p w:rsidR="001F1CA0" w:rsidP="009733CA" w:rsidRDefault="001F1CA0" w14:paraId="675D41E8" w14:textId="77777777">
      <w:pPr>
        <w:pStyle w:val="Heading2"/>
      </w:pPr>
      <w:r>
        <w:t>Preparation</w:t>
      </w:r>
    </w:p>
    <w:p w:rsidRPr="004F00A0" w:rsidR="001F1CA0" w:rsidP="009733CA" w:rsidRDefault="00E32651" w14:paraId="7FB6405D" w14:textId="1A9E5E8D">
      <w:pPr>
        <w:pStyle w:val="ListBulletmaterials"/>
      </w:pPr>
      <w:r>
        <w:rPr>
          <w:i/>
        </w:rPr>
        <w:t>Intro-to-bnAbs</w:t>
      </w:r>
      <w:r w:rsidR="001A7DA3">
        <w:rPr>
          <w:i/>
        </w:rPr>
        <w:t>.ppt</w:t>
      </w:r>
    </w:p>
    <w:p w:rsidRPr="00F05FCB" w:rsidR="001F1CA0" w:rsidP="009733CA" w:rsidRDefault="001F1CA0" w14:paraId="076347F0" w14:textId="77777777">
      <w:pPr>
        <w:pStyle w:val="Heading2"/>
      </w:pPr>
      <w:r>
        <w:t>Procedure</w:t>
      </w:r>
    </w:p>
    <w:p w:rsidR="001F1CA0" w:rsidP="009733CA" w:rsidRDefault="001F1CA0" w14:paraId="06CB65B5" w14:textId="2384FC7F">
      <w:pPr>
        <w:pStyle w:val="BodyText"/>
      </w:pPr>
      <w:r>
        <w:rPr>
          <w:b/>
        </w:rPr>
        <w:t xml:space="preserve">Step 1: </w:t>
      </w:r>
      <w:r w:rsidR="001A7DA3">
        <w:t xml:space="preserve">Go </w:t>
      </w:r>
      <w:r w:rsidR="00AE41F3">
        <w:t>through the</w:t>
      </w:r>
      <w:r w:rsidR="001A7DA3">
        <w:t xml:space="preserve"> PowerPoint presentation </w:t>
      </w:r>
      <w:r w:rsidR="00AE41F3">
        <w:t>using the</w:t>
      </w:r>
      <w:r w:rsidR="001A7DA3">
        <w:t xml:space="preserve"> speaker’s notes. Stop for questions as they come up. If there are questions you cannot answer, write them </w:t>
      </w:r>
      <w:r w:rsidR="00AE41F3">
        <w:t>down</w:t>
      </w:r>
      <w:r w:rsidR="001A7DA3">
        <w:t xml:space="preserve"> and contact </w:t>
      </w:r>
      <w:r w:rsidR="00AE41F3">
        <w:t xml:space="preserve">your </w:t>
      </w:r>
      <w:r w:rsidR="0081485E">
        <w:t xml:space="preserve">site PI or </w:t>
      </w:r>
      <w:r w:rsidR="00AE41F3">
        <w:t>Community Engagement Project Manager</w:t>
      </w:r>
      <w:r w:rsidR="001A7DA3">
        <w:t xml:space="preserve"> at HVTN Core to help provide answers.</w:t>
      </w:r>
    </w:p>
    <w:p w:rsidR="00E02DA1" w:rsidP="00E02DA1" w:rsidRDefault="00E02DA1" w14:paraId="5659C506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4CE849AD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065F4B2B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10D35185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15EB04D4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7425049E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4B2F05CD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65FE7298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6D7F2B59" w14:textId="77777777">
      <w:pPr>
        <w:pStyle w:val="OverviewBodyText"/>
        <w:jc w:val="center"/>
        <w:rPr>
          <w:sz w:val="18"/>
        </w:rPr>
      </w:pPr>
    </w:p>
    <w:p w:rsidR="00E02DA1" w:rsidP="00E02DA1" w:rsidRDefault="00E02DA1" w14:paraId="42AEF862" w14:textId="77777777">
      <w:pPr>
        <w:pStyle w:val="OverviewBodyText"/>
        <w:jc w:val="center"/>
      </w:pPr>
      <w:r>
        <w:rPr>
          <w:sz w:val="18"/>
        </w:rPr>
        <w:t>The HIV Vaccine Trials Network is supported through a cooperative agreement with the National Institute of Allergy and Infectious Diseases</w:t>
      </w:r>
    </w:p>
    <w:sectPr w:rsidR="00E02DA1" w:rsidSect="007A6ADE">
      <w:headerReference w:type="default" r:id="rId9"/>
      <w:footerReference w:type="default" r:id="rId10"/>
      <w:footerReference w:type="first" r:id="rId11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02E" w:rsidP="00DC6725" w:rsidRDefault="0050002E" w14:paraId="130997A1" w14:textId="77777777">
      <w:r>
        <w:separator/>
      </w:r>
    </w:p>
  </w:endnote>
  <w:endnote w:type="continuationSeparator" w:id="0">
    <w:p w:rsidR="0050002E" w:rsidP="00DC6725" w:rsidRDefault="0050002E" w14:paraId="1FB042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zo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1D4" w:rsidRDefault="008201D4" w14:paraId="7E5A4703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257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4B10" w:rsidR="008201D4" w:rsidRDefault="008201D4" w14:paraId="43146C83" w14:textId="77777777">
    <w:pPr>
      <w:pStyle w:val="Footer"/>
    </w:pPr>
    <w:r w:rsidRPr="00724B10">
      <w:fldChar w:fldCharType="begin"/>
    </w:r>
    <w:r w:rsidRPr="00724B10">
      <w:instrText xml:space="preserve"> PAGE   \* MERGEFORMAT </w:instrText>
    </w:r>
    <w:r w:rsidRPr="00724B10">
      <w:fldChar w:fldCharType="separate"/>
    </w:r>
    <w:r w:rsidR="0055257C">
      <w:rPr>
        <w:noProof/>
      </w:rPr>
      <w:t>1</w:t>
    </w:r>
    <w:r w:rsidRPr="00724B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02E" w:rsidP="00DC6725" w:rsidRDefault="0050002E" w14:paraId="17677179" w14:textId="77777777">
      <w:r>
        <w:separator/>
      </w:r>
    </w:p>
  </w:footnote>
  <w:footnote w:type="continuationSeparator" w:id="0">
    <w:p w:rsidR="0050002E" w:rsidP="00DC6725" w:rsidRDefault="0050002E" w14:paraId="1AFA69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1D4" w:rsidRDefault="00127B23" w14:paraId="4803BCA0" w14:textId="09793E28">
    <w:pPr>
      <w:pStyle w:val="Header"/>
    </w:pPr>
    <w:r>
      <w:fldChar w:fldCharType="begin"/>
    </w:r>
    <w:r>
      <w:instrText> STYLEREF  "Heading 1 section"  \* MERGEFORMAT </w:instrText>
    </w:r>
    <w:r>
      <w:fldChar w:fldCharType="separate"/>
    </w:r>
    <w:r w:rsidR="00433A9A">
      <w:rPr>
        <w:noProof/>
      </w:rPr>
      <w:t>Unit ##</w:t>
    </w:r>
    <w:r>
      <w:fldChar w:fldCharType="end"/>
    </w:r>
    <w:r w:rsidR="008201D4">
      <w:t xml:space="preserve"> | </w:t>
    </w:r>
    <w:r>
      <w:fldChar w:fldCharType="begin"/>
    </w:r>
    <w:r>
      <w:instrText> STYLEREF  Title  \* MERGEFORMAT </w:instrText>
    </w:r>
    <w:r>
      <w:fldChar w:fldCharType="separate"/>
    </w:r>
    <w:r w:rsidR="00433A9A">
      <w:rPr>
        <w:noProof/>
      </w:rPr>
      <w:t>Introduction to Broadly Neutralizing Antibodies (bnAbs)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46A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2E0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6E6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122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65690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1664A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BF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C88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6DDA4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</w:abstractNum>
  <w:abstractNum w:abstractNumId="10" w15:restartNumberingAfterBreak="0">
    <w:nsid w:val="100F49E1"/>
    <w:multiLevelType w:val="multilevel"/>
    <w:tmpl w:val="7018BC00"/>
    <w:styleLink w:val="OverviewListBullets"/>
    <w:lvl w:ilvl="0">
      <w:start w:val="1"/>
      <w:numFmt w:val="bullet"/>
      <w:pStyle w:val="Overview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475056"/>
    <w:multiLevelType w:val="hybridMultilevel"/>
    <w:tmpl w:val="2B548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AA022A"/>
    <w:multiLevelType w:val="hybridMultilevel"/>
    <w:tmpl w:val="3B605316"/>
    <w:lvl w:ilvl="0" w:tplc="DFA2C64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50515D"/>
    <w:multiLevelType w:val="multilevel"/>
    <w:tmpl w:val="B0F0675A"/>
    <w:styleLink w:val="ListBulletsmaterials"/>
    <w:lvl w:ilvl="0">
      <w:start w:val="1"/>
      <w:numFmt w:val="bullet"/>
      <w:pStyle w:val="ListBulletmaterials"/>
      <w:lvlText w:val="o"/>
      <w:lvlJc w:val="left"/>
      <w:pPr>
        <w:ind w:left="360" w:hanging="360"/>
      </w:pPr>
      <w:rPr>
        <w:rFonts w:hint="default" w:ascii="Courier New" w:hAnsi="Courier New"/>
        <w:color w:val="E31E26"/>
        <w:u w:color="E31E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BA5F45"/>
    <w:multiLevelType w:val="hybridMultilevel"/>
    <w:tmpl w:val="44F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5B0F43"/>
    <w:multiLevelType w:val="hybridMultilevel"/>
    <w:tmpl w:val="5FE8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716288"/>
    <w:multiLevelType w:val="hybridMultilevel"/>
    <w:tmpl w:val="43DCAC42"/>
    <w:lvl w:ilvl="0" w:tplc="BDE4752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4231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D072F5"/>
    <w:multiLevelType w:val="multilevel"/>
    <w:tmpl w:val="7018BC00"/>
    <w:numStyleLink w:val="OverviewListBullets"/>
  </w:abstractNum>
  <w:abstractNum w:abstractNumId="19" w15:restartNumberingAfterBreak="0">
    <w:nsid w:val="783B4B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BF31F0"/>
    <w:multiLevelType w:val="hybridMultilevel"/>
    <w:tmpl w:val="C6C87298"/>
    <w:lvl w:ilvl="0" w:tplc="E89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19"/>
  </w:num>
  <w:num w:numId="18">
    <w:abstractNumId w:val="10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6A2"/>
    <w:rsid w:val="00001AD2"/>
    <w:rsid w:val="0003554C"/>
    <w:rsid w:val="000F0CED"/>
    <w:rsid w:val="00127B23"/>
    <w:rsid w:val="00190A02"/>
    <w:rsid w:val="00192AC5"/>
    <w:rsid w:val="001A7DA3"/>
    <w:rsid w:val="001D502B"/>
    <w:rsid w:val="001F1CA0"/>
    <w:rsid w:val="00214584"/>
    <w:rsid w:val="00250F6F"/>
    <w:rsid w:val="002570B3"/>
    <w:rsid w:val="002759E7"/>
    <w:rsid w:val="0028407F"/>
    <w:rsid w:val="002C29A4"/>
    <w:rsid w:val="002E5BD9"/>
    <w:rsid w:val="0032696D"/>
    <w:rsid w:val="003C07FB"/>
    <w:rsid w:val="003C7D20"/>
    <w:rsid w:val="003D2A00"/>
    <w:rsid w:val="003D3888"/>
    <w:rsid w:val="003F415B"/>
    <w:rsid w:val="00433A9A"/>
    <w:rsid w:val="00437002"/>
    <w:rsid w:val="00464ED6"/>
    <w:rsid w:val="00472700"/>
    <w:rsid w:val="00494432"/>
    <w:rsid w:val="004F00A0"/>
    <w:rsid w:val="0050002E"/>
    <w:rsid w:val="005426DB"/>
    <w:rsid w:val="00544BE1"/>
    <w:rsid w:val="0055257C"/>
    <w:rsid w:val="00596736"/>
    <w:rsid w:val="005C5598"/>
    <w:rsid w:val="00625D02"/>
    <w:rsid w:val="006326A2"/>
    <w:rsid w:val="006A06BE"/>
    <w:rsid w:val="00724B10"/>
    <w:rsid w:val="007434C3"/>
    <w:rsid w:val="0075197F"/>
    <w:rsid w:val="007A093E"/>
    <w:rsid w:val="007A6ADE"/>
    <w:rsid w:val="007F5318"/>
    <w:rsid w:val="00801D44"/>
    <w:rsid w:val="0081485E"/>
    <w:rsid w:val="008201D4"/>
    <w:rsid w:val="0083733A"/>
    <w:rsid w:val="008931F4"/>
    <w:rsid w:val="0089432C"/>
    <w:rsid w:val="008A7C7B"/>
    <w:rsid w:val="009019F3"/>
    <w:rsid w:val="00910F07"/>
    <w:rsid w:val="00932BC6"/>
    <w:rsid w:val="009733CA"/>
    <w:rsid w:val="00980964"/>
    <w:rsid w:val="009D1A60"/>
    <w:rsid w:val="009D7A2E"/>
    <w:rsid w:val="009E01E8"/>
    <w:rsid w:val="009F4249"/>
    <w:rsid w:val="00A22053"/>
    <w:rsid w:val="00A60FB4"/>
    <w:rsid w:val="00AA5833"/>
    <w:rsid w:val="00AE41F3"/>
    <w:rsid w:val="00B05763"/>
    <w:rsid w:val="00B14A3C"/>
    <w:rsid w:val="00B303DD"/>
    <w:rsid w:val="00B82671"/>
    <w:rsid w:val="00B829F3"/>
    <w:rsid w:val="00C20021"/>
    <w:rsid w:val="00C5294D"/>
    <w:rsid w:val="00C65D89"/>
    <w:rsid w:val="00C75313"/>
    <w:rsid w:val="00D13F1F"/>
    <w:rsid w:val="00D6546D"/>
    <w:rsid w:val="00D931AB"/>
    <w:rsid w:val="00DC6725"/>
    <w:rsid w:val="00DE3720"/>
    <w:rsid w:val="00E02DA1"/>
    <w:rsid w:val="00E26C49"/>
    <w:rsid w:val="00E32651"/>
    <w:rsid w:val="00E45C1A"/>
    <w:rsid w:val="00E5425C"/>
    <w:rsid w:val="00E676FE"/>
    <w:rsid w:val="00E83A3A"/>
    <w:rsid w:val="00EC2449"/>
    <w:rsid w:val="00EC6598"/>
    <w:rsid w:val="00EE4617"/>
    <w:rsid w:val="00F05FCB"/>
    <w:rsid w:val="00F13771"/>
    <w:rsid w:val="00F1480B"/>
    <w:rsid w:val="6B6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CBCDC"/>
  <w15:docId w15:val="{F33F5F80-8FA1-4CA5-BD49-F81AE69190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0CE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D13F1F"/>
    <w:pPr>
      <w:keepNext/>
      <w:spacing w:before="560"/>
      <w:outlineLvl w:val="0"/>
    </w:pPr>
    <w:rPr>
      <w:b/>
      <w:color w:val="365F91" w:themeColor="accent1" w:themeShade="BF"/>
      <w:sz w:val="32"/>
    </w:rPr>
  </w:style>
  <w:style w:type="paragraph" w:styleId="Heading2">
    <w:name w:val="heading 2"/>
    <w:basedOn w:val="Heading1"/>
    <w:next w:val="BodyText"/>
    <w:link w:val="Heading2Char"/>
    <w:qFormat/>
    <w:rsid w:val="007434C3"/>
    <w:pPr>
      <w:spacing w:before="280" w:after="140"/>
      <w:outlineLvl w:val="1"/>
    </w:pPr>
    <w:rPr>
      <w:bCs/>
      <w:sz w:val="2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DC6725"/>
    <w:pPr>
      <w:keepLines/>
      <w:spacing w:before="520" w:line="260" w:lineRule="exact"/>
      <w:outlineLvl w:val="2"/>
    </w:pPr>
    <w:rPr>
      <w:rFonts w:eastAsiaTheme="majorEastAsia" w:cstheme="majorBidi"/>
      <w:bCs w:val="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13F1F"/>
    <w:rPr>
      <w:rFonts w:ascii="Franklin Gothic Book" w:hAnsi="Franklin Gothic Book" w:eastAsia="Times New Roman" w:cs="Times New Roman"/>
      <w:b/>
      <w:iCs/>
      <w:color w:val="365F91" w:themeColor="accent1" w:themeShade="BF"/>
      <w:sz w:val="32"/>
      <w:szCs w:val="20"/>
    </w:rPr>
  </w:style>
  <w:style w:type="character" w:styleId="Heading2Char" w:customStyle="1">
    <w:name w:val="Heading 2 Char"/>
    <w:basedOn w:val="DefaultParagraphFont"/>
    <w:link w:val="Heading2"/>
    <w:rsid w:val="007434C3"/>
    <w:rPr>
      <w:rFonts w:ascii="Franklin Gothic Book" w:hAnsi="Franklin Gothic Book" w:eastAsia="Times New Roman" w:cs="Times New Roman"/>
      <w:b/>
      <w:bCs/>
      <w:iCs/>
      <w:color w:val="365F91" w:themeColor="accent1" w:themeShade="BF"/>
      <w:sz w:val="24"/>
      <w:szCs w:val="20"/>
    </w:rPr>
  </w:style>
  <w:style w:type="paragraph" w:styleId="Header">
    <w:name w:val="header"/>
    <w:basedOn w:val="BodyText"/>
    <w:link w:val="HeaderChar"/>
    <w:uiPriority w:val="99"/>
    <w:rsid w:val="00B14A3C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B14A3C"/>
    <w:rPr>
      <w:rFonts w:ascii="Franklin Gothic Book" w:hAnsi="Franklin Gothic Book" w:eastAsia="Times New Roman" w:cs="Times New Roman"/>
      <w:iCs/>
      <w:color w:val="000000" w:themeColor="text1"/>
      <w:sz w:val="18"/>
      <w:szCs w:val="20"/>
    </w:rPr>
  </w:style>
  <w:style w:type="paragraph" w:styleId="BodyText">
    <w:name w:val="Body Text"/>
    <w:link w:val="BodyTextChar"/>
    <w:rsid w:val="007434C3"/>
    <w:pPr>
      <w:spacing w:after="280" w:line="280" w:lineRule="exact"/>
    </w:pPr>
    <w:rPr>
      <w:rFonts w:ascii="Franklin Gothic Book" w:hAnsi="Franklin Gothic Book" w:eastAsia="Times New Roman" w:cs="Times New Roman"/>
      <w:iCs/>
      <w:szCs w:val="20"/>
    </w:rPr>
  </w:style>
  <w:style w:type="character" w:styleId="BodyTextChar" w:customStyle="1">
    <w:name w:val="Body Text Char"/>
    <w:basedOn w:val="DefaultParagraphFont"/>
    <w:link w:val="BodyText"/>
    <w:rsid w:val="007434C3"/>
    <w:rPr>
      <w:rFonts w:ascii="Franklin Gothic Book" w:hAnsi="Franklin Gothic Book" w:eastAsia="Times New Roman" w:cs="Times New Roman"/>
      <w:iCs/>
      <w:szCs w:val="20"/>
    </w:rPr>
  </w:style>
  <w:style w:type="paragraph" w:styleId="BodyText2">
    <w:name w:val="Body Text 2"/>
    <w:basedOn w:val="Normal"/>
    <w:link w:val="BodyText2Char1"/>
    <w:rsid w:val="00E5425C"/>
    <w:rPr>
      <w:sz w:val="22"/>
    </w:rPr>
  </w:style>
  <w:style w:type="character" w:styleId="BodyText2Char" w:customStyle="1">
    <w:name w:val="Body Text 2 Char"/>
    <w:basedOn w:val="DefaultParagraphFont"/>
    <w:uiPriority w:val="99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E5425C"/>
    <w:rPr>
      <w:iCs/>
    </w:rPr>
  </w:style>
  <w:style w:type="character" w:styleId="BodyText3Char" w:customStyle="1">
    <w:name w:val="Body Text 3 Char"/>
    <w:basedOn w:val="DefaultParagraphFont"/>
    <w:link w:val="BodyText3"/>
    <w:rsid w:val="00E5425C"/>
    <w:rPr>
      <w:rFonts w:ascii="Times New Roman" w:hAnsi="Times New Roman" w:eastAsia="Times New Roman" w:cs="Times New Roman"/>
      <w:iCs/>
      <w:sz w:val="20"/>
      <w:szCs w:val="20"/>
    </w:rPr>
  </w:style>
  <w:style w:type="paragraph" w:styleId="BodyText-Elegant" w:customStyle="1">
    <w:name w:val="Body Text - Elegant"/>
    <w:basedOn w:val="Caption"/>
    <w:rsid w:val="00E5425C"/>
    <w:pPr>
      <w:spacing w:after="120"/>
      <w:jc w:val="center"/>
    </w:pPr>
    <w:rPr>
      <w:rFonts w:ascii="Bradley Hand ITC" w:hAnsi="Bradley Hand ITC" w:eastAsia="Arial Unicode MS" w:cs="Arial Unicode MS"/>
      <w:b w:val="0"/>
      <w:color w:val="0000FF"/>
      <w:kern w:val="30"/>
      <w:sz w:val="20"/>
      <w:u w:val="single"/>
    </w:rPr>
  </w:style>
  <w:style w:type="character" w:styleId="CommentReference">
    <w:name w:val="annotation reference"/>
    <w:basedOn w:val="DefaultParagraphFont"/>
    <w:semiHidden/>
    <w:rsid w:val="00E54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425C"/>
  </w:style>
  <w:style w:type="character" w:styleId="CommentTextChar" w:customStyle="1">
    <w:name w:val="Comment Text Char"/>
    <w:basedOn w:val="DefaultParagraphFont"/>
    <w:link w:val="CommentText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rsid w:val="00E5425C"/>
    <w:rPr>
      <w:rFonts w:ascii="Times New Roman" w:hAnsi="Times New Roman" w:eastAsia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25C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5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425C"/>
    <w:rPr>
      <w:rFonts w:ascii="Tahoma" w:hAnsi="Tahoma" w:eastAsia="Times New Roman" w:cs="Tahoma"/>
      <w:sz w:val="16"/>
      <w:szCs w:val="16"/>
    </w:rPr>
  </w:style>
  <w:style w:type="paragraph" w:styleId="ListBullet">
    <w:name w:val="List Bullet"/>
    <w:basedOn w:val="BodyText"/>
    <w:uiPriority w:val="99"/>
    <w:unhideWhenUsed/>
    <w:rsid w:val="000F0CED"/>
    <w:pPr>
      <w:spacing w:before="120"/>
    </w:pPr>
  </w:style>
  <w:style w:type="paragraph" w:styleId="List">
    <w:name w:val="List"/>
    <w:basedOn w:val="BodyText"/>
    <w:uiPriority w:val="99"/>
    <w:unhideWhenUsed/>
    <w:rsid w:val="00DC6725"/>
    <w:pPr>
      <w:spacing w:before="120"/>
      <w:ind w:left="360" w:hanging="360"/>
    </w:pPr>
  </w:style>
  <w:style w:type="character" w:styleId="Heading3Char" w:customStyle="1">
    <w:name w:val="Heading 3 Char"/>
    <w:basedOn w:val="DefaultParagraphFont"/>
    <w:link w:val="Heading3"/>
    <w:uiPriority w:val="9"/>
    <w:rsid w:val="00DC6725"/>
    <w:rPr>
      <w:rFonts w:ascii="Franklin Gothic Book" w:hAnsi="Franklin Gothic Book" w:eastAsiaTheme="majorEastAsia" w:cstheme="majorBidi"/>
      <w:b/>
      <w:iCs/>
      <w:szCs w:val="20"/>
    </w:rPr>
  </w:style>
  <w:style w:type="paragraph" w:styleId="Heading1section" w:customStyle="1">
    <w:name w:val="Heading 1 section"/>
    <w:basedOn w:val="Heading1"/>
    <w:next w:val="BodyText"/>
    <w:qFormat/>
    <w:rsid w:val="007A6ADE"/>
    <w:pPr>
      <w:spacing w:before="0"/>
      <w:jc w:val="center"/>
    </w:pPr>
  </w:style>
  <w:style w:type="paragraph" w:styleId="Footer">
    <w:name w:val="footer"/>
    <w:basedOn w:val="Header"/>
    <w:link w:val="FooterChar"/>
    <w:uiPriority w:val="99"/>
    <w:unhideWhenUsed/>
    <w:rsid w:val="00DC67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6725"/>
    <w:rPr>
      <w:rFonts w:ascii="Franklin Gothic Book" w:hAnsi="Franklin Gothic Book" w:eastAsia="Times New Roman" w:cs="Times New Roman"/>
      <w:iCs/>
      <w:sz w:val="18"/>
      <w:szCs w:val="20"/>
    </w:rPr>
  </w:style>
  <w:style w:type="paragraph" w:styleId="Title">
    <w:name w:val="Title"/>
    <w:basedOn w:val="BodyText"/>
    <w:next w:val="BodyText"/>
    <w:link w:val="TitleChar"/>
    <w:uiPriority w:val="10"/>
    <w:qFormat/>
    <w:rsid w:val="005426DB"/>
    <w:pPr>
      <w:spacing w:before="520" w:after="52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7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426DB"/>
    <w:rPr>
      <w:rFonts w:ascii="Franklin Gothic Book" w:hAnsi="Franklin Gothic Book" w:eastAsiaTheme="majorEastAsia" w:cstheme="majorBidi"/>
      <w:b/>
      <w:iCs/>
      <w:color w:val="000000" w:themeColor="text1"/>
      <w:spacing w:val="5"/>
      <w:kern w:val="28"/>
      <w:sz w:val="78"/>
      <w:szCs w:val="52"/>
    </w:rPr>
  </w:style>
  <w:style w:type="paragraph" w:styleId="OverviewHeading1" w:customStyle="1">
    <w:name w:val="Overview Heading 1"/>
    <w:basedOn w:val="Heading1"/>
    <w:qFormat/>
    <w:rsid w:val="007434C3"/>
    <w:pPr>
      <w:spacing w:before="280" w:after="140"/>
    </w:pPr>
    <w:rPr>
      <w:color w:val="000000" w:themeColor="text1"/>
    </w:rPr>
  </w:style>
  <w:style w:type="paragraph" w:styleId="OverviewBodyText" w:customStyle="1">
    <w:name w:val="Overview Body Text"/>
    <w:basedOn w:val="BodyText"/>
    <w:qFormat/>
    <w:rsid w:val="007434C3"/>
  </w:style>
  <w:style w:type="paragraph" w:styleId="OverviewListBullet" w:customStyle="1">
    <w:name w:val="Overview List Bullet"/>
    <w:basedOn w:val="ListBullet"/>
    <w:qFormat/>
    <w:rsid w:val="00C75313"/>
    <w:pPr>
      <w:numPr>
        <w:numId w:val="19"/>
      </w:numPr>
      <w:spacing w:before="140" w:after="140"/>
    </w:pPr>
  </w:style>
  <w:style w:type="paragraph" w:styleId="OverviewList" w:customStyle="1">
    <w:name w:val="Overview List"/>
    <w:basedOn w:val="List"/>
    <w:qFormat/>
    <w:rsid w:val="007434C3"/>
    <w:pPr>
      <w:spacing w:before="140" w:after="140"/>
    </w:pPr>
  </w:style>
  <w:style w:type="table" w:styleId="TableGrid">
    <w:name w:val="Table Grid"/>
    <w:basedOn w:val="TableNormal"/>
    <w:uiPriority w:val="59"/>
    <w:rsid w:val="00801D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materials" w:customStyle="1">
    <w:name w:val="List Bullet materials"/>
    <w:basedOn w:val="ListBullet"/>
    <w:qFormat/>
    <w:rsid w:val="0089432C"/>
    <w:pPr>
      <w:numPr>
        <w:numId w:val="16"/>
      </w:numPr>
      <w:spacing w:before="140" w:after="140"/>
    </w:pPr>
  </w:style>
  <w:style w:type="numbering" w:styleId="ListBulletsmaterials" w:customStyle="1">
    <w:name w:val="List Bullets materials"/>
    <w:uiPriority w:val="99"/>
    <w:rsid w:val="008201D4"/>
    <w:pPr>
      <w:numPr>
        <w:numId w:val="16"/>
      </w:numPr>
    </w:pPr>
  </w:style>
  <w:style w:type="numbering" w:styleId="OverviewListBullets" w:customStyle="1">
    <w:name w:val="Overview List Bullets"/>
    <w:basedOn w:val="NoList"/>
    <w:uiPriority w:val="99"/>
    <w:rsid w:val="00C75313"/>
    <w:pPr>
      <w:numPr>
        <w:numId w:val="18"/>
      </w:numPr>
    </w:pPr>
  </w:style>
  <w:style w:type="paragraph" w:styleId="TextBox" w:customStyle="1">
    <w:name w:val="Text Box"/>
    <w:basedOn w:val="BodyText"/>
    <w:qFormat/>
    <w:rsid w:val="00932BC6"/>
    <w:pPr>
      <w:spacing w:after="0" w:line="240" w:lineRule="auto"/>
    </w:pPr>
    <w:rPr>
      <w:rFonts w:ascii="Arizona" w:hAnsi="Arizona"/>
    </w:rPr>
  </w:style>
  <w:style w:type="character" w:styleId="Hyperlink">
    <w:name w:val="Hyperlink"/>
    <w:basedOn w:val="DefaultParagraphFont"/>
    <w:uiPriority w:val="99"/>
    <w:unhideWhenUsed/>
    <w:rsid w:val="001D5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44C6D-8771-494B-ABCB-781D0F3691AF}"/>
</file>

<file path=customXml/itemProps2.xml><?xml version="1.0" encoding="utf-8"?>
<ds:datastoreItem xmlns:ds="http://schemas.openxmlformats.org/officeDocument/2006/customXml" ds:itemID="{39F6EC91-C6A9-40EF-906D-B8AA6EB41C11}"/>
</file>

<file path=customXml/itemProps3.xml><?xml version="1.0" encoding="utf-8"?>
<ds:datastoreItem xmlns:ds="http://schemas.openxmlformats.org/officeDocument/2006/customXml" ds:itemID="{4DAE1EE6-3E84-45B8-BA42-332076AE1F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Fred Hutchinson Cancer Research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Meyer, Genevieve A</dc:creator>
  <lastModifiedBy>Broder MHS, Gail B</lastModifiedBy>
  <revision>6</revision>
  <lastPrinted>2014-07-24T17:19:00.0000000Z</lastPrinted>
  <dcterms:created xsi:type="dcterms:W3CDTF">2022-01-24T19:04:00.0000000Z</dcterms:created>
  <dcterms:modified xsi:type="dcterms:W3CDTF">2022-08-15T23:03:26.4099784Z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0x0101008C2FA235A54A7A4CB28A09C5D2D00092</vt:lpwstr>
  </property>
</Properties>
</file>